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60F" w:rsidRDefault="00F2260F" w:rsidP="002A5561">
      <w:pPr>
        <w:autoSpaceDE w:val="0"/>
        <w:autoSpaceDN w:val="0"/>
        <w:adjustRightInd w:val="0"/>
        <w:jc w:val="center"/>
        <w:rPr>
          <w:rFonts w:ascii="Arial,Bold" w:eastAsiaTheme="minorHAnsi" w:hAnsi="Arial,Bold" w:cs="Arial,Bold"/>
          <w:b/>
          <w:bCs/>
          <w:sz w:val="31"/>
          <w:szCs w:val="31"/>
        </w:rPr>
      </w:pPr>
      <w:bookmarkStart w:id="0" w:name="_GoBack"/>
      <w:bookmarkEnd w:id="0"/>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F2260F" w:rsidRDefault="00F2260F" w:rsidP="002A5561">
      <w:pPr>
        <w:autoSpaceDE w:val="0"/>
        <w:autoSpaceDN w:val="0"/>
        <w:adjustRightInd w:val="0"/>
        <w:jc w:val="center"/>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53"/>
        <w:gridCol w:w="4820"/>
      </w:tblGrid>
      <w:tr w:rsidR="0020186E" w:rsidRPr="004A4ECA" w:rsidTr="005736A2">
        <w:trPr>
          <w:trHeight w:val="575"/>
        </w:trPr>
        <w:tc>
          <w:tcPr>
            <w:tcW w:w="5353" w:type="dxa"/>
            <w:tcBorders>
              <w:top w:val="single" w:sz="4" w:space="0" w:color="auto"/>
              <w:bottom w:val="nil"/>
              <w:right w:val="single" w:sz="4" w:space="0" w:color="auto"/>
            </w:tcBorders>
            <w:shd w:val="clear" w:color="auto" w:fill="auto"/>
            <w:vAlign w:val="center"/>
          </w:tcPr>
          <w:p w:rsidR="0020186E" w:rsidRPr="004A4ECA" w:rsidRDefault="00F2260F" w:rsidP="00F2260F">
            <w:pPr>
              <w:spacing w:before="240" w:line="480" w:lineRule="auto"/>
              <w:rPr>
                <w:rFonts w:ascii="Arial" w:hAnsi="Arial" w:cs="Arial"/>
                <w:sz w:val="16"/>
                <w:szCs w:val="16"/>
              </w:rPr>
            </w:pPr>
            <w:r>
              <w:rPr>
                <w:rFonts w:ascii="Arial" w:hAnsi="Arial" w:cs="Arial"/>
                <w:sz w:val="16"/>
                <w:szCs w:val="16"/>
              </w:rPr>
              <w:lastRenderedPageBreak/>
              <w:t>Al Comune di Sannicandro di Bari -</w:t>
            </w:r>
            <w:r w:rsidRPr="00061DA5">
              <w:rPr>
                <w:rFonts w:ascii="Arial" w:hAnsi="Arial" w:cs="Arial"/>
                <w:sz w:val="16"/>
                <w:szCs w:val="16"/>
              </w:rPr>
              <w:t xml:space="preserve"> via G</w:t>
            </w:r>
            <w:r>
              <w:rPr>
                <w:rFonts w:ascii="Arial" w:hAnsi="Arial" w:cs="Arial"/>
                <w:sz w:val="16"/>
                <w:szCs w:val="16"/>
              </w:rPr>
              <w:t>uglielmo</w:t>
            </w:r>
            <w:r w:rsidRPr="00061DA5">
              <w:rPr>
                <w:rFonts w:ascii="Arial" w:hAnsi="Arial" w:cs="Arial"/>
                <w:sz w:val="16"/>
                <w:szCs w:val="16"/>
              </w:rPr>
              <w:t xml:space="preserve"> Marconi n.2</w:t>
            </w: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|__|__</w:t>
            </w:r>
            <w:r w:rsidR="00F2260F">
              <w:rPr>
                <w:rFonts w:ascii="Arial" w:hAnsi="Arial" w:cs="Arial"/>
                <w:i/>
                <w:color w:val="808080"/>
                <w:sz w:val="22"/>
                <w:szCs w:val="22"/>
              </w:rPr>
              <w:t>|__|__|__|__|__|__|</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F2260F" w:rsidRPr="004A4ECA" w:rsidTr="00F2260F">
        <w:trPr>
          <w:trHeight w:val="554"/>
        </w:trPr>
        <w:tc>
          <w:tcPr>
            <w:tcW w:w="5353" w:type="dxa"/>
            <w:tcBorders>
              <w:top w:val="nil"/>
              <w:bottom w:val="nil"/>
              <w:right w:val="single" w:sz="4" w:space="0" w:color="auto"/>
            </w:tcBorders>
            <w:shd w:val="clear" w:color="auto" w:fill="auto"/>
            <w:vAlign w:val="center"/>
          </w:tcPr>
          <w:p w:rsidR="00F2260F" w:rsidRDefault="00F2260F" w:rsidP="00F2260F">
            <w:pPr>
              <w:spacing w:line="360" w:lineRule="auto"/>
              <w:rPr>
                <w:rFonts w:ascii="Arial" w:hAnsi="Arial" w:cs="Arial"/>
                <w:sz w:val="14"/>
                <w:szCs w:val="16"/>
              </w:rPr>
            </w:pPr>
            <w:r w:rsidRPr="004A4ECA">
              <w:rPr>
                <w:rFonts w:ascii="Arial" w:hAnsi="Arial" w:cs="Arial"/>
                <w:sz w:val="16"/>
                <w:szCs w:val="16"/>
              </w:rPr>
              <w:sym w:font="Wingdings" w:char="F0A8"/>
            </w:r>
            <w:r w:rsidRPr="004A4ECA">
              <w:rPr>
                <w:rFonts w:ascii="Arial" w:hAnsi="Arial" w:cs="Arial"/>
                <w:sz w:val="16"/>
                <w:szCs w:val="16"/>
              </w:rPr>
              <w:t xml:space="preserve"> SUAP</w:t>
            </w:r>
          </w:p>
          <w:p w:rsidR="00F2260F" w:rsidRDefault="00F2260F" w:rsidP="00F2260F">
            <w:pPr>
              <w:spacing w:line="360" w:lineRule="auto"/>
              <w:rPr>
                <w:rFonts w:ascii="Arial" w:hAnsi="Arial" w:cs="Arial"/>
                <w:i/>
                <w:color w:val="808080"/>
                <w:sz w:val="16"/>
                <w:szCs w:val="16"/>
              </w:rPr>
            </w:pPr>
            <w:r>
              <w:rPr>
                <w:rFonts w:ascii="Arial" w:hAnsi="Arial" w:cs="Arial"/>
                <w:i/>
                <w:color w:val="808080"/>
                <w:sz w:val="16"/>
                <w:szCs w:val="16"/>
              </w:rPr>
              <w:t>PEC / Posta elettronica:</w:t>
            </w:r>
          </w:p>
          <w:p w:rsidR="00F2260F" w:rsidRDefault="008228F9" w:rsidP="00F2260F">
            <w:pPr>
              <w:spacing w:line="360" w:lineRule="auto"/>
              <w:rPr>
                <w:rFonts w:ascii="Arial" w:hAnsi="Arial" w:cs="Arial"/>
                <w:sz w:val="14"/>
                <w:szCs w:val="16"/>
              </w:rPr>
            </w:pPr>
            <w:hyperlink r:id="rId8" w:history="1">
              <w:r w:rsidR="00F2260F" w:rsidRPr="00D3681A">
                <w:rPr>
                  <w:rStyle w:val="Collegamentoipertestuale"/>
                  <w:rFonts w:ascii="Arial" w:hAnsi="Arial" w:cs="Arial"/>
                  <w:sz w:val="14"/>
                  <w:szCs w:val="16"/>
                </w:rPr>
                <w:t>commercio.comunesannicandrodibari@pec.rupar.puglia.it</w:t>
              </w:r>
            </w:hyperlink>
          </w:p>
          <w:p w:rsidR="00F2260F" w:rsidRPr="004A4ECA" w:rsidRDefault="008228F9" w:rsidP="00F2260F">
            <w:pPr>
              <w:spacing w:line="480" w:lineRule="auto"/>
              <w:rPr>
                <w:rFonts w:ascii="Arial" w:hAnsi="Arial" w:cs="Arial"/>
                <w:sz w:val="16"/>
                <w:szCs w:val="16"/>
              </w:rPr>
            </w:pPr>
            <w:hyperlink r:id="rId9" w:history="1">
              <w:r w:rsidR="00F2260F" w:rsidRPr="00D3681A">
                <w:rPr>
                  <w:rStyle w:val="Collegamentoipertestuale"/>
                  <w:rFonts w:ascii="Arial" w:hAnsi="Arial" w:cs="Arial"/>
                  <w:sz w:val="14"/>
                  <w:szCs w:val="16"/>
                </w:rPr>
                <w:t>commercio@comune.sannicandro.bari.it</w:t>
              </w:r>
            </w:hyperlink>
          </w:p>
        </w:tc>
        <w:tc>
          <w:tcPr>
            <w:tcW w:w="4820" w:type="dxa"/>
            <w:vMerge/>
            <w:tcBorders>
              <w:top w:val="nil"/>
              <w:left w:val="single" w:sz="4" w:space="0" w:color="auto"/>
              <w:bottom w:val="single" w:sz="4" w:space="0" w:color="auto"/>
            </w:tcBorders>
            <w:shd w:val="clear" w:color="auto" w:fill="auto"/>
            <w:vAlign w:val="bottom"/>
          </w:tcPr>
          <w:p w:rsidR="00F2260F" w:rsidRPr="004A4ECA" w:rsidRDefault="00F2260F" w:rsidP="00B20FC0">
            <w:pPr>
              <w:rPr>
                <w:rFonts w:ascii="Arial" w:hAnsi="Arial" w:cs="Arial"/>
                <w:sz w:val="16"/>
                <w:szCs w:val="16"/>
              </w:rPr>
            </w:pPr>
          </w:p>
        </w:tc>
      </w:tr>
      <w:tr w:rsidR="0020186E" w:rsidRPr="004A4ECA" w:rsidTr="005736A2">
        <w:trPr>
          <w:trHeight w:val="328"/>
        </w:trPr>
        <w:tc>
          <w:tcPr>
            <w:tcW w:w="5353" w:type="dxa"/>
            <w:tcBorders>
              <w:top w:val="nil"/>
              <w:right w:val="single" w:sz="4" w:space="0" w:color="auto"/>
            </w:tcBorders>
            <w:shd w:val="clear" w:color="auto" w:fill="auto"/>
            <w:vAlign w:val="center"/>
          </w:tcPr>
          <w:p w:rsidR="00F2260F" w:rsidRDefault="00F2260F" w:rsidP="00F2260F">
            <w:pPr>
              <w:spacing w:line="360" w:lineRule="auto"/>
              <w:rPr>
                <w:rFonts w:ascii="Arial" w:hAnsi="Arial" w:cs="Arial"/>
                <w:sz w:val="14"/>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p w:rsidR="00F2260F" w:rsidRDefault="00F2260F" w:rsidP="00F2260F">
            <w:pPr>
              <w:spacing w:line="360" w:lineRule="auto"/>
              <w:rPr>
                <w:rFonts w:ascii="Arial" w:hAnsi="Arial" w:cs="Arial"/>
                <w:i/>
                <w:color w:val="808080"/>
                <w:sz w:val="16"/>
                <w:szCs w:val="16"/>
              </w:rPr>
            </w:pPr>
            <w:r>
              <w:rPr>
                <w:rFonts w:ascii="Arial" w:hAnsi="Arial" w:cs="Arial"/>
                <w:i/>
                <w:color w:val="808080"/>
                <w:sz w:val="16"/>
                <w:szCs w:val="16"/>
              </w:rPr>
              <w:t>PEC / Posta elettronica:</w:t>
            </w:r>
          </w:p>
          <w:p w:rsidR="00F2260F" w:rsidRDefault="008228F9" w:rsidP="00F2260F">
            <w:pPr>
              <w:spacing w:line="360" w:lineRule="auto"/>
              <w:rPr>
                <w:rFonts w:ascii="Arial" w:hAnsi="Arial" w:cs="Arial"/>
                <w:sz w:val="14"/>
                <w:szCs w:val="16"/>
              </w:rPr>
            </w:pPr>
            <w:hyperlink r:id="rId10" w:history="1">
              <w:r w:rsidR="00F2260F" w:rsidRPr="00D24836">
                <w:rPr>
                  <w:rStyle w:val="Collegamentoipertestuale"/>
                  <w:rFonts w:ascii="Arial" w:hAnsi="Arial" w:cs="Arial"/>
                  <w:sz w:val="14"/>
                  <w:szCs w:val="16"/>
                </w:rPr>
                <w:t>edilizia.comunesannicandrodibari@pec.rupar.puglia.it</w:t>
              </w:r>
            </w:hyperlink>
          </w:p>
          <w:p w:rsidR="0020186E" w:rsidRPr="004A4ECA" w:rsidRDefault="008228F9" w:rsidP="00F2260F">
            <w:pPr>
              <w:spacing w:line="360" w:lineRule="auto"/>
              <w:rPr>
                <w:rFonts w:ascii="Arial" w:hAnsi="Arial" w:cs="Arial"/>
                <w:b/>
                <w:sz w:val="16"/>
                <w:szCs w:val="16"/>
              </w:rPr>
            </w:pPr>
            <w:hyperlink r:id="rId11" w:history="1">
              <w:r w:rsidR="00F2260F" w:rsidRPr="00D24836">
                <w:rPr>
                  <w:rStyle w:val="Collegamentoipertestuale"/>
                  <w:rFonts w:ascii="Arial" w:hAnsi="Arial" w:cs="Arial"/>
                  <w:sz w:val="14"/>
                  <w:szCs w:val="16"/>
                </w:rPr>
                <w:t>edilizia@comune.sannicandro.bari.it</w:t>
              </w:r>
            </w:hyperlink>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F2260F">
      <w:pPr>
        <w:spacing w:before="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173" w:type="dxa"/>
        <w:shd w:val="clear" w:color="auto" w:fill="E6E6E6"/>
        <w:tblLook w:val="01E0" w:firstRow="1" w:lastRow="1" w:firstColumn="1" w:lastColumn="1" w:noHBand="0" w:noVBand="0"/>
      </w:tblPr>
      <w:tblGrid>
        <w:gridCol w:w="10173"/>
      </w:tblGrid>
      <w:tr w:rsidR="0020186E" w:rsidRPr="004A4ECA" w:rsidTr="00F2260F">
        <w:trPr>
          <w:trHeight w:val="374"/>
        </w:trPr>
        <w:tc>
          <w:tcPr>
            <w:tcW w:w="10173" w:type="dxa"/>
            <w:shd w:val="clear" w:color="auto" w:fill="E6E6E6"/>
            <w:vAlign w:val="center"/>
          </w:tcPr>
          <w:p w:rsidR="0020186E" w:rsidRPr="004A4ECA" w:rsidRDefault="0020186E" w:rsidP="00F2260F">
            <w:pPr>
              <w:rPr>
                <w:rFonts w:ascii="Arial" w:hAnsi="Arial" w:cs="Arial"/>
                <w:b/>
                <w:i/>
                <w:szCs w:val="18"/>
              </w:rPr>
            </w:pPr>
            <w:r w:rsidRPr="004A4ECA">
              <w:rPr>
                <w:rFonts w:ascii="Arial" w:hAnsi="Arial" w:cs="Arial"/>
                <w:b/>
                <w:i/>
                <w:szCs w:val="18"/>
              </w:rPr>
              <w:t>DATI DEL TITOLARE</w:t>
            </w:r>
            <w:r w:rsidR="00F2260F">
              <w:rPr>
                <w:rFonts w:ascii="Arial" w:hAnsi="Arial" w:cs="Arial"/>
                <w:b/>
                <w:i/>
                <w:szCs w:val="18"/>
              </w:rPr>
              <w:br/>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firstRow="1" w:lastRow="1" w:firstColumn="1" w:lastColumn="1" w:noHBand="0" w:noVBand="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firstRow="1" w:lastRow="1" w:firstColumn="1" w:lastColumn="1" w:noHBand="0" w:noVBand="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F2260F">
      <w:pPr>
        <w:spacing w:after="120"/>
        <w:jc w:val="both"/>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F2260F" w:rsidRDefault="0020186E" w:rsidP="0020186E">
      <w:pPr>
        <w:rPr>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F2260F" w:rsidRDefault="0020186E" w:rsidP="0020186E"/>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493"/>
        </w:trPr>
        <w:tc>
          <w:tcPr>
            <w:tcW w:w="9889" w:type="dxa"/>
            <w:vAlign w:val="bottom"/>
          </w:tcPr>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20186E" w:rsidRPr="004A4ECA" w:rsidRDefault="0020186E" w:rsidP="00F2260F">
            <w:pPr>
              <w:ind w:left="596" w:hanging="425"/>
              <w:jc w:val="both"/>
              <w:rPr>
                <w:rFonts w:ascii="Arial" w:hAnsi="Arial" w:cs="Arial"/>
                <w:szCs w:val="18"/>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tc>
      </w:tr>
    </w:tbl>
    <w:p w:rsidR="0087082D" w:rsidRPr="004A4ECA" w:rsidRDefault="0087082D" w:rsidP="0020186E">
      <w:pPr>
        <w:rPr>
          <w:rFonts w:ascii="Arial" w:hAnsi="Arial" w:cs="Arial"/>
          <w:b/>
          <w:szCs w:val="18"/>
        </w:rPr>
      </w:pP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t xml:space="preserve">Rispetto degli obblighi in materia di salute e </w:t>
      </w:r>
      <w:r w:rsidR="00F2260F">
        <w:rPr>
          <w:rFonts w:ascii="Arial" w:hAnsi="Arial" w:cs="Arial"/>
          <w:b/>
          <w:color w:val="808080"/>
          <w:szCs w:val="18"/>
        </w:rPr>
        <w:t>sicurezza nei luoghi di lavoro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c>
          <w:tcPr>
            <w:tcW w:w="9889" w:type="dxa"/>
          </w:tcPr>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w:t>
            </w:r>
            <w:r w:rsidRPr="004A4ECA">
              <w:rPr>
                <w:rFonts w:ascii="Arial" w:eastAsia="Calibri" w:hAnsi="Arial" w:cs="Arial"/>
                <w:sz w:val="20"/>
                <w:szCs w:val="20"/>
              </w:rPr>
              <w:lastRenderedPageBreak/>
              <w:t>previsti dall’allegato XVII del d.lgs. n. 81/2008, e l’autocertificazione relativa al contratto collettivo applicato</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E65EB7">
            <w:pPr>
              <w:spacing w:after="120"/>
              <w:rPr>
                <w:rFonts w:ascii="Arial" w:hAnsi="Arial" w:cs="Arial"/>
                <w:szCs w:val="18"/>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E65EB7" w:rsidRDefault="00E65EB7">
      <w:pPr>
        <w:spacing w:after="200" w:line="276" w:lineRule="auto"/>
        <w:rPr>
          <w:rFonts w:ascii="Arial" w:hAnsi="Arial" w:cs="Arial"/>
          <w:b/>
          <w:szCs w:val="18"/>
        </w:rPr>
      </w:pPr>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w:t>
      </w:r>
      <w:r w:rsidR="00E65EB7">
        <w:rPr>
          <w:rFonts w:ascii="Arial" w:hAnsi="Arial" w:cs="Arial"/>
          <w:b/>
          <w:color w:val="808080"/>
          <w:szCs w:val="18"/>
        </w:rPr>
        <w:t>o della normativa sulla privacy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lastRenderedPageBreak/>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00E65EB7" w:rsidRPr="00E65EB7">
        <w:rPr>
          <w:rFonts w:ascii="Arial" w:eastAsia="Calibri" w:hAnsi="Arial" w:cs="Arial"/>
          <w:sz w:val="22"/>
          <w:szCs w:val="22"/>
          <w:u w:val="single"/>
        </w:rPr>
        <w:t>Sannicandro di Bari</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E65EB7"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br w:type="page"/>
      </w:r>
    </w:p>
    <w:tbl>
      <w:tblPr>
        <w:tblW w:w="0" w:type="auto"/>
        <w:tblLook w:val="01E0" w:firstRow="1" w:lastRow="1" w:firstColumn="1" w:lastColumn="1" w:noHBand="0" w:noVBand="0"/>
      </w:tblPr>
      <w:tblGrid>
        <w:gridCol w:w="9854"/>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49"/>
        <w:gridCol w:w="3459"/>
        <w:gridCol w:w="1563"/>
        <w:gridCol w:w="3319"/>
      </w:tblGrid>
      <w:tr w:rsidR="0020186E" w:rsidRPr="004A4ECA" w:rsidTr="00E65EB7">
        <w:trPr>
          <w:trHeight w:val="567"/>
          <w:jc w:val="center"/>
        </w:trPr>
        <w:tc>
          <w:tcPr>
            <w:tcW w:w="4809"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488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E65EB7">
        <w:trPr>
          <w:trHeight w:val="795"/>
          <w:jc w:val="center"/>
        </w:trPr>
        <w:tc>
          <w:tcPr>
            <w:tcW w:w="1350"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4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563"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319"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E65EB7">
        <w:trPr>
          <w:trHeight w:val="470"/>
          <w:jc w:val="center"/>
        </w:trPr>
        <w:tc>
          <w:tcPr>
            <w:tcW w:w="1350"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4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563" w:type="dxa"/>
            <w:vAlign w:val="center"/>
          </w:tcPr>
          <w:p w:rsidR="0020186E" w:rsidRPr="004A4ECA" w:rsidRDefault="0020186E" w:rsidP="00B20FC0">
            <w:pPr>
              <w:jc w:val="center"/>
              <w:rPr>
                <w:rFonts w:ascii="Arial" w:hAnsi="Arial" w:cs="Arial"/>
                <w:sz w:val="16"/>
              </w:rPr>
            </w:pPr>
          </w:p>
        </w:tc>
        <w:tc>
          <w:tcPr>
            <w:tcW w:w="3319"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E65EB7">
        <w:trPr>
          <w:trHeight w:val="518"/>
          <w:jc w:val="center"/>
        </w:trPr>
        <w:tc>
          <w:tcPr>
            <w:tcW w:w="1350"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4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563"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319"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E65EB7">
        <w:trPr>
          <w:trHeight w:val="579"/>
          <w:jc w:val="center"/>
        </w:trPr>
        <w:tc>
          <w:tcPr>
            <w:tcW w:w="1350"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4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563"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319"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E65EB7">
        <w:trPr>
          <w:trHeight w:val="571"/>
          <w:jc w:val="center"/>
        </w:trPr>
        <w:tc>
          <w:tcPr>
            <w:tcW w:w="1350"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4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563"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319"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E65EB7">
        <w:trPr>
          <w:trHeight w:val="564"/>
          <w:jc w:val="center"/>
        </w:trPr>
        <w:tc>
          <w:tcPr>
            <w:tcW w:w="1350"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4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563"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319"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E65EB7">
        <w:trPr>
          <w:trHeight w:val="861"/>
          <w:jc w:val="center"/>
        </w:trPr>
        <w:tc>
          <w:tcPr>
            <w:tcW w:w="1350"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4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563"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319"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16"/>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36AA3" w:rsidRPr="003E463E" w:rsidRDefault="0020186E" w:rsidP="000F0C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28683E">
      <w:footerReference w:type="default" r:id="rId12"/>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8F9" w:rsidRDefault="008228F9" w:rsidP="00D5591F">
      <w:r>
        <w:separator/>
      </w:r>
    </w:p>
  </w:endnote>
  <w:endnote w:type="continuationSeparator" w:id="0">
    <w:p w:rsidR="008228F9" w:rsidRDefault="008228F9"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60F" w:rsidRDefault="00F226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8F9" w:rsidRDefault="008228F9" w:rsidP="00D5591F">
      <w:r>
        <w:separator/>
      </w:r>
    </w:p>
  </w:footnote>
  <w:footnote w:type="continuationSeparator" w:id="0">
    <w:p w:rsidR="008228F9" w:rsidRDefault="008228F9" w:rsidP="00D5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15:restartNumberingAfterBreak="0">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15:restartNumberingAfterBreak="0">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15:restartNumberingAfterBreak="0">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15:restartNumberingAfterBreak="0">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15:restartNumberingAfterBreak="0">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15:restartNumberingAfterBreak="0">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15:restartNumberingAfterBreak="0">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15:restartNumberingAfterBreak="0">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15:restartNumberingAfterBreak="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15:restartNumberingAfterBreak="0">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15:restartNumberingAfterBreak="0">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15:restartNumberingAfterBreak="0">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15:restartNumberingAfterBreak="0">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15:restartNumberingAfterBreak="0">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15:restartNumberingAfterBreak="0">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15:restartNumberingAfterBreak="0">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15:restartNumberingAfterBreak="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15:restartNumberingAfterBreak="0">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15:restartNumberingAfterBreak="0">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15:restartNumberingAfterBreak="0">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15:restartNumberingAfterBreak="0">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15:restartNumberingAfterBreak="0">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15:restartNumberingAfterBreak="0">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15:restartNumberingAfterBreak="0">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15:restartNumberingAfterBreak="0">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15:restartNumberingAfterBreak="0">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15:restartNumberingAfterBreak="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15:restartNumberingAfterBreak="0">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15:restartNumberingAfterBreak="0">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15:restartNumberingAfterBreak="0">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15:restartNumberingAfterBreak="0">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15:restartNumberingAfterBreak="0">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15:restartNumberingAfterBreak="0">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15:restartNumberingAfterBreak="0">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15:restartNumberingAfterBreak="0">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15:restartNumberingAfterBreak="0">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15:restartNumberingAfterBreak="0">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15:restartNumberingAfterBreak="0">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15:restartNumberingAfterBreak="0">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15:restartNumberingAfterBreak="0">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15:restartNumberingAfterBreak="0">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15:restartNumberingAfterBreak="0">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15:restartNumberingAfterBreak="0">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15:restartNumberingAfterBreak="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15:restartNumberingAfterBreak="0">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15:restartNumberingAfterBreak="0">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15:restartNumberingAfterBreak="0">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15:restartNumberingAfterBreak="0">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15:restartNumberingAfterBreak="0">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15:restartNumberingAfterBreak="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15:restartNumberingAfterBreak="0">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15:restartNumberingAfterBreak="0">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15:restartNumberingAfterBreak="0">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15:restartNumberingAfterBreak="0">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15:restartNumberingAfterBreak="0">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15:restartNumberingAfterBreak="0">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15:restartNumberingAfterBreak="0">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15:restartNumberingAfterBreak="0">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15:restartNumberingAfterBreak="0">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15:restartNumberingAfterBreak="0">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15:restartNumberingAfterBreak="0">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15:restartNumberingAfterBreak="0">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15:restartNumberingAfterBreak="0">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15:restartNumberingAfterBreak="0">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15:restartNumberingAfterBreak="0">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15:restartNumberingAfterBreak="0">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15:restartNumberingAfterBreak="0">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15:restartNumberingAfterBreak="0">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15:restartNumberingAfterBreak="0">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15:restartNumberingAfterBreak="0">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15:restartNumberingAfterBreak="0">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15:restartNumberingAfterBreak="0">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15:restartNumberingAfterBreak="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15:restartNumberingAfterBreak="0">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15:restartNumberingAfterBreak="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15:restartNumberingAfterBreak="0">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15:restartNumberingAfterBreak="0">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15:restartNumberingAfterBreak="0">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15:restartNumberingAfterBreak="0">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15:restartNumberingAfterBreak="0">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15:restartNumberingAfterBreak="0">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15:restartNumberingAfterBreak="0">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15:restartNumberingAfterBreak="0">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15:restartNumberingAfterBreak="0">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15:restartNumberingAfterBreak="0">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15:restartNumberingAfterBreak="0">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15:restartNumberingAfterBreak="0">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15:restartNumberingAfterBreak="0">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15:restartNumberingAfterBreak="0">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15:restartNumberingAfterBreak="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1F"/>
    <w:rsid w:val="00011EF6"/>
    <w:rsid w:val="000208AF"/>
    <w:rsid w:val="0003558E"/>
    <w:rsid w:val="00044183"/>
    <w:rsid w:val="00061DA5"/>
    <w:rsid w:val="00093AB0"/>
    <w:rsid w:val="000C2986"/>
    <w:rsid w:val="000C3AB7"/>
    <w:rsid w:val="000D38A5"/>
    <w:rsid w:val="000F0C6E"/>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C58DF"/>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B53A0"/>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7373A"/>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2F49"/>
    <w:rsid w:val="00805A09"/>
    <w:rsid w:val="00814F3C"/>
    <w:rsid w:val="008228F9"/>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675E7"/>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C7790"/>
    <w:rsid w:val="00BE075F"/>
    <w:rsid w:val="00C1080F"/>
    <w:rsid w:val="00C206F9"/>
    <w:rsid w:val="00C63C3A"/>
    <w:rsid w:val="00C92F44"/>
    <w:rsid w:val="00C945B0"/>
    <w:rsid w:val="00C978C4"/>
    <w:rsid w:val="00CB27B2"/>
    <w:rsid w:val="00CB32D8"/>
    <w:rsid w:val="00CC334F"/>
    <w:rsid w:val="00CD506A"/>
    <w:rsid w:val="00CE6EFE"/>
    <w:rsid w:val="00D17B0D"/>
    <w:rsid w:val="00D238EE"/>
    <w:rsid w:val="00D24836"/>
    <w:rsid w:val="00D350FA"/>
    <w:rsid w:val="00D4342D"/>
    <w:rsid w:val="00D5591F"/>
    <w:rsid w:val="00D6369C"/>
    <w:rsid w:val="00D66F8D"/>
    <w:rsid w:val="00D6784D"/>
    <w:rsid w:val="00D8230D"/>
    <w:rsid w:val="00D84FEC"/>
    <w:rsid w:val="00D906D7"/>
    <w:rsid w:val="00D945B1"/>
    <w:rsid w:val="00DC670B"/>
    <w:rsid w:val="00DD2185"/>
    <w:rsid w:val="00DF098D"/>
    <w:rsid w:val="00E11067"/>
    <w:rsid w:val="00E15751"/>
    <w:rsid w:val="00E4178C"/>
    <w:rsid w:val="00E54020"/>
    <w:rsid w:val="00E604B0"/>
    <w:rsid w:val="00E65EB7"/>
    <w:rsid w:val="00E80404"/>
    <w:rsid w:val="00E87713"/>
    <w:rsid w:val="00EA033E"/>
    <w:rsid w:val="00EA6C03"/>
    <w:rsid w:val="00EB7B7C"/>
    <w:rsid w:val="00EE1C3C"/>
    <w:rsid w:val="00EE5950"/>
    <w:rsid w:val="00EF017E"/>
    <w:rsid w:val="00EF4004"/>
    <w:rsid w:val="00F11C99"/>
    <w:rsid w:val="00F15DAB"/>
    <w:rsid w:val="00F2260F"/>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16FE4-C151-4365-A597-A3C29387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o.comunesannicandrodibari@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lizia@comune.sannicandro.bari.it" TargetMode="External"/><Relationship Id="rId5" Type="http://schemas.openxmlformats.org/officeDocument/2006/relationships/webSettings" Target="webSettings.xml"/><Relationship Id="rId10" Type="http://schemas.openxmlformats.org/officeDocument/2006/relationships/hyperlink" Target="mailto:edilizia.comunesannicandrodibari@pec.rupar.puglia.it" TargetMode="External"/><Relationship Id="rId4" Type="http://schemas.openxmlformats.org/officeDocument/2006/relationships/settings" Target="settings.xml"/><Relationship Id="rId9" Type="http://schemas.openxmlformats.org/officeDocument/2006/relationships/hyperlink" Target="mailto:commercio@comune.sannicandro.bar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B6A93-EB84-49F1-9819-18912061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Domenico Satalino</cp:lastModifiedBy>
  <cp:revision>2</cp:revision>
  <cp:lastPrinted>2017-06-22T13:53:00Z</cp:lastPrinted>
  <dcterms:created xsi:type="dcterms:W3CDTF">2017-09-03T21:35:00Z</dcterms:created>
  <dcterms:modified xsi:type="dcterms:W3CDTF">2017-09-03T21:35:00Z</dcterms:modified>
</cp:coreProperties>
</file>